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xml" PartName="/word/comments.xml"/>
  <Override ContentType="application/vnd.openxmlformats-officedocument.wordprocessingml.commentsExtended+xml" PartName="/word/commentsExtended.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Target="docProps/app.xml" Type="http://schemas.openxmlformats.org/officeDocument/2006/relationships/extended-properties" Id="rId3"/><Relationship Target="docProps/core.xml" Type="http://schemas.openxmlformats.org/package/2006/relationships/metadata/core-properties" Id="rId2"/><Relationship Target="word/document.xml" Type="http://schemas.openxmlformats.org/officeDocument/2006/relationships/officeDocument" Id="rId1"/><Relationship Target="docProps/custom.xml" Type="http://schemas.openxmlformats.org/officeDocument/2006/relationships/custom-properties" Id="rId4"/></Relationships>
</file>

<file path=word/document.xml><?xml version="1.0" encoding="utf-8"?>
<w:document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p14">
  <w:body>
    <!-- Modified by docx4j 6.1.2 (Apache licensed) using ORACLE_JRE JAXB in Tencent Java 1.8.0_262 on Linux -->
    <w:p>
      <w:pPr>
        <w:pStyle w:val="t1"/>
        <w:snapToGrid w:val="false"/>
        <w:spacing w:line="480" w:lineRule="exact"/>
        <w:ind/>
        <w:jc w:val="center"/>
        <w:rPr>
          <w:rFonts w:ascii="仿宋" w:hAnsi="仿宋" w:eastAsia="仿宋"/>
          <w:color w:val="333333"/>
          <w:sz w:val="36"/>
          <w:szCs w:val="36"/>
        </w:rPr>
      </w:pPr>
      <w:r>
        <w:rPr>
          <w:rFonts w:ascii="仿宋" w:hAnsi="仿宋" w:eastAsia="仿宋"/>
          <w:sz w:val="36"/>
          <w:szCs w:val="36"/>
        </w:rPr>
        <w:t>2021级“海洋科学（物理海洋与观测技术）”</w:t>
      </w:r>
      <w:r>
        <w:rPr>
          <w:rFonts w:ascii="仿宋" w:hAnsi="仿宋" w:eastAsia="仿宋"/>
          <w:color w:val="333333"/>
          <w:sz w:val="36"/>
          <w:szCs w:val="36"/>
        </w:rPr>
        <w:t>专业本科人才培养方案</w:t>
      </w:r>
    </w:p>
    <w:p>
      <w:pPr>
        <w:pStyle w:val="heading1"/>
        <w:numPr>
          <w:ilvl w:val="0"/>
          <w:numId w:val="33"/>
        </w:numPr>
        <w:snapToGrid w:val="false"/>
        <w:spacing w:line="480" w:lineRule="exact"/>
        <w:ind w:leftChars="220" w:hangingChars="220"/>
        <w:jc w:val="left"/>
        <w:rPr>
          <w:rFonts w:ascii="仿宋" w:hAnsi="仿宋" w:eastAsia="仿宋"/>
          <w:color w:val="000000"/>
          <w:sz w:val="32"/>
          <w:szCs w:val="32"/>
        </w:rPr>
      </w:pPr>
      <w:r>
        <w:rPr>
          <w:rFonts w:hint="eastAsia"/>
        </w:rPr>
      </w:r>
      <w:r>
        <w:rPr>
          <w:rFonts w:ascii="仿宋" w:hAnsi="仿宋" w:eastAsia="仿宋"/>
          <w:color w:val="000000"/>
          <w:sz w:val="32"/>
          <w:szCs w:val="32"/>
        </w:rPr>
        <w:t>培养目标与规格</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上海交通大学海洋学院致力打造海洋科学与技术交叉融合发展的国际化一流学院。现拥有的专任教师队伍中，各类国家级人才计划入选者20人，超过95%的教师具有海外长期留学、访学或工作经历，是一支完全国际化的教师队伍。师资团队成员长期坚守科研一线，致力于跟踪与探索海洋领域重大科学问题。一流的国际化师资队伍和科研平台为培养一流的本科生打下了坚实基础。</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上海交通大学海洋学院物理海洋学科团队聚焦</w:t>
      </w:r>
      <w:r>
        <w:rPr>
          <w:rFonts w:ascii="仿宋" w:hAnsi="仿宋" w:eastAsia="仿宋"/>
          <w:color w:val="000000"/>
          <w:sz w:val="28"/>
          <w:szCs w:val="28"/>
          <w:shd w:val="clear" w:fill="FFFFFF"/>
        </w:rPr>
        <w:t>海洋中物理和生态过程研究，包括海洋动力学、海气和陆海相互作用、气候变化、及物理海洋过程对生物地球化学过程和生物过程的影响，在大-中-小尺度过程开展观测、理论和数值模拟研究；</w:t>
      </w:r>
      <w:r>
        <w:rPr>
          <w:rFonts w:ascii="仿宋" w:hAnsi="仿宋" w:eastAsia="仿宋"/>
          <w:color w:val="000000"/>
          <w:sz w:val="28"/>
          <w:szCs w:val="28"/>
        </w:rPr>
        <w:t>海洋技术研究团队致力于</w:t>
      </w:r>
      <w:r>
        <w:rPr>
          <w:rFonts w:ascii="仿宋" w:hAnsi="仿宋" w:eastAsia="仿宋"/>
          <w:color w:val="000000"/>
          <w:sz w:val="28"/>
          <w:szCs w:val="28"/>
          <w:shd w:val="clear" w:fill="FFFFFF"/>
        </w:rPr>
        <w:t>支撑海洋科学发展的前沿重大技术难题，紧密围绕海洋生态环境监测、资源开发保护及海洋过程研究的需要，在遥感技术、卫星技术、水下平台技术、和传感器技术等领域开展国际一流的研究工作</w:t>
      </w:r>
      <w:r>
        <w:rPr>
          <w:rFonts w:ascii="仿宋" w:hAnsi="仿宋" w:eastAsia="仿宋"/>
          <w:color w:val="000000"/>
          <w:sz w:val="28"/>
          <w:szCs w:val="28"/>
        </w:rPr>
        <w:t>。</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海洋科学（物理海洋与观测技术方向）”专业的人才培养目标是培养德智体美劳全面发展，数学、物理、力学、计算机等科学基础扎实，海洋科学与技术基本理论与人文素养深厚、动手实践能力强、专业兴趣驱动多学科协调发展的海洋技术学科领军人才；培养具有家国情怀、批判性思维能力、分析问题与解决问题能力、沟通协调能力、自我学习能力、国际化视野和多元文化包容理解能力的交叉复合型高端人才。毕业生能够从事海洋科学与技术领域相关研发和管理等工作，也可在本专业或其他相关专业继续深造。</w:t>
      </w:r>
    </w:p>
    <w:p>
      <w:pPr>
        <w:pStyle w:val="heading1"/>
        <w:numPr>
          <w:ilvl w:val="0"/>
          <w:numId w:val="33"/>
        </w:numPr>
        <w:snapToGrid w:val="false"/>
        <w:spacing w:line="480" w:lineRule="exact"/>
        <w:ind w:leftChars="220" w:hangingChars="220"/>
        <w:jc w:val="left"/>
        <w:rPr>
          <w:rFonts w:ascii="仿宋" w:hAnsi="仿宋" w:eastAsia="仿宋"/>
          <w:color w:val="000000"/>
          <w:sz w:val="32"/>
          <w:szCs w:val="32"/>
        </w:rPr>
      </w:pPr>
      <w:r>
        <w:rPr>
          <w:rFonts w:hint="eastAsia"/>
        </w:rPr>
      </w:r>
      <w:r>
        <w:rPr>
          <w:rFonts w:ascii="仿宋" w:hAnsi="仿宋" w:eastAsia="仿宋"/>
          <w:color w:val="000000"/>
          <w:sz w:val="32"/>
          <w:szCs w:val="32"/>
        </w:rPr>
        <w:t>规范与要求</w:t>
      </w:r>
    </w:p>
    <w:p>
      <w:pPr>
        <w:snapToGrid w:val="false"/>
        <w:spacing w:before="0" w:after="0" w:line="480" w:lineRule="exact"/>
        <w:ind/>
        <w:jc w:val="left"/>
        <w:rPr>
          <w:rFonts w:ascii="仿宋" w:hAnsi="仿宋" w:eastAsia="仿宋"/>
          <w:b w:val="true"/>
          <w:bCs w:val="true"/>
          <w:color w:val="000000"/>
          <w:sz w:val="28"/>
          <w:szCs w:val="28"/>
        </w:rPr>
      </w:pPr>
      <w:r>
        <w:rPr>
          <w:rFonts w:ascii="仿宋" w:hAnsi="仿宋" w:eastAsia="仿宋"/>
          <w:b w:val="true"/>
          <w:bCs w:val="true"/>
          <w:color w:val="000000"/>
          <w:sz w:val="28"/>
          <w:szCs w:val="28"/>
        </w:rPr>
        <w:t>A 价值引领</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A1 坚定理想信念，践行社会主义核心价值观</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A1.1 道路自信。学习掌握马克思主义世界观和方法论，坚定马克思主义的信仰、社会主义和共产主义的信念、共产主义远大理想和中国特色社会主义共同理想，坚定走中国特色社会主义道路。</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A1.2 理论自信。坚持不懈用习近平新时代中国特色社会主义思想铸魂育人，教育引导学生了解世情国情党情民情，增强对党的创新理论的政治认同、思想认同、情感认同。</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A1.3 制度自信。教育引导学生充分认识中国特色社会主义制度的本质特征和优越性。</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A1.4 文化自信。教育引导学生自觉弘扬和传承中华优秀传统文化、革命文化、社会主义先进文化、社会主义核心价值观，坚定中国特色社会主义自信。</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A2 厚植家国情怀，担当民族伟大复兴重任</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A2.1 民族精神。弘扬以爱国主义为核心的民族精神和以改革创新为核心的时代精神，教育引导学生传承中华文脉，富有中国心、饱含中国情、充满中国味。</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A2.2 使命意识。教育引导学生爱国爱民，树立为祖国为人民永久奋斗、赤诚奉献的坚定理想，立志肩负起民族复兴的时代重任，努力成为社会主义建设者和接班人。</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A3 立足行业领域，矢志成为国家栋梁</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A3.1 行业情怀。教育引导学生树立坚定的专业目标,培养学生的专业志趣，不断激发学生的报国志向和行业情怀。</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A3.2 爱国敬业。教育引导学生修炼专业素养内功，努力成为可堪大用的栋梁之材。</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A4 追求真理，树立创造未来的远大目标</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A4.1 科学精神。把马克思主义立场观点方法的教育与科学精神的培养结合起来，培养学生探索未知、追求真理、勇攀科学高峰的责任感和使命感。</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A4.2 科技报国。培养学生精益求精的大国工匠精神，激发学生科技报国的家国情怀和使命担当。</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A4.3 两山理念。教育引导学生树立和践行绿水青山就是金山银山的理念，培育学生“爱农知农为农”素养，增强学生服务农业农村现代化、服务乡村全面振兴的使命感和责任感。</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A4.4 法治观念。教育引导学生学思践悟习近平全面依法治国新理念新思想新战略，牢固树立法治观念，坚定走中国特色社会主义法治道路的理想和信念。</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A4.5 社会责任。教育引导学生深入社会实践、关注现实问题，培养学生养成遵纪守法、德法兼修、经世济民、诚信服务、无私奉献的素养和品格。</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A4.6 人民立场。引导学生立足时代、扎根人民、深入生活，树立正确的艺术观和创作观，树立学为人师、行为世范的职业理想，着力培养学生“珍爱生命、大医精诚”的救死扶伤精神，做德医双修、仁心仁术的人民生命健康守护者，为人民谋幸福。</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A5 胸怀天下，以增进全人类福祉为己任</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A5.1 全球视野。培养学生的人类情怀、世界胸怀，将“中国梦”与“世界梦”紧密相连，促进学生中西融汇、古今贯通、文理渗透，汲取人类文明精华，为世界谋进步、为人类谋福祉，积极承担构建人类命运共同体的责任与使命。</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A5.2 可持续发展。教育引导学生面向国家战略需求、人类未来发展、思想文化创新和基础学科前沿，增强使命责任，关注气候变化、能源危机、人类健康、地缘冲突、全球治理、可持续发展等人类重大挑战，树立破解人类发展难题的远大志向，孕育产生新思想、新理论。</w:t>
      </w:r>
    </w:p>
    <w:p>
      <w:pPr>
        <w:snapToGrid w:val="false"/>
        <w:spacing w:before="0" w:after="0" w:line="480" w:lineRule="exact"/>
        <w:ind/>
        <w:jc w:val="left"/>
        <w:rPr>
          <w:rFonts w:ascii="仿宋" w:hAnsi="仿宋" w:eastAsia="仿宋"/>
          <w:b w:val="true"/>
          <w:bCs w:val="true"/>
          <w:color w:val="000000"/>
          <w:sz w:val="28"/>
          <w:szCs w:val="28"/>
        </w:rPr>
      </w:pPr>
      <w:r>
        <w:rPr>
          <w:rFonts w:ascii="仿宋" w:hAnsi="仿宋" w:eastAsia="仿宋"/>
          <w:b w:val="true"/>
          <w:bCs w:val="true"/>
          <w:color w:val="000000"/>
          <w:sz w:val="28"/>
          <w:szCs w:val="28"/>
        </w:rPr>
        <w:t>B 知识探究</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B1 深厚的基础理论</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B1.1 数学、物理、化学、生物、计算机等学科基础知识</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B1.2 海洋科学概貌及海洋可持续发展等基本知识</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B2 扎实的专业核心</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B2.1 含物理海洋、生物海洋与海洋生物、化学海洋、地质海洋、海洋技术等领域知识的海洋学导论</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B2.2 流体力学、科学计算、海洋技术、海洋声学、海洋光学、气候学与全球变化等专业核心知识体系</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B3 宽广的跨学科知识</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常微分方程、偏微分方程、常微分方程与偏微分方程的数值解法、数字信号处理、自动控制原理等多学科交叉融合的知识</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B4 领先的专业前沿</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海洋观测方法、海洋机器人原理、图像处理与智能识别、气候学与全球变化、湍流、大气海洋动力学、计算流体力学、粘性流体力学、海洋传感器技术等专业前沿知识</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B5 广博的通识教育</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人文学科、社会科学、自然科学等通识类知识</w:t>
      </w:r>
    </w:p>
    <w:p>
      <w:pPr>
        <w:snapToGrid w:val="false"/>
        <w:spacing w:before="0" w:after="0" w:line="480" w:lineRule="exact"/>
        <w:ind/>
        <w:jc w:val="left"/>
        <w:rPr>
          <w:rFonts w:ascii="仿宋" w:hAnsi="仿宋" w:eastAsia="仿宋"/>
          <w:b w:val="true"/>
          <w:bCs w:val="true"/>
          <w:color w:val="000000"/>
          <w:sz w:val="28"/>
          <w:szCs w:val="28"/>
        </w:rPr>
      </w:pPr>
      <w:r>
        <w:rPr>
          <w:rFonts w:ascii="仿宋" w:hAnsi="仿宋" w:eastAsia="仿宋"/>
          <w:b w:val="true"/>
          <w:bCs w:val="true"/>
          <w:color w:val="000000"/>
          <w:sz w:val="28"/>
          <w:szCs w:val="28"/>
        </w:rPr>
        <w:t>C 能力建设</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C1 审美与鉴赏能力</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C2 沟通协作与管理领导能力</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C3 批判性思维、实践与创新能力</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C4 跨文化沟通交流与全球胜任力</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C5 终身学习和自主学习能力</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C6 至少一门外语的应用能力</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C7 发现、分析与解决问题能力</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C8 国际化视野与多元文化包容理解能力</w:t>
      </w:r>
    </w:p>
    <w:p>
      <w:pPr>
        <w:snapToGrid w:val="false"/>
        <w:spacing w:before="0" w:after="0" w:line="480" w:lineRule="exact"/>
        <w:ind/>
        <w:jc w:val="left"/>
        <w:rPr>
          <w:rFonts w:ascii="仿宋" w:hAnsi="仿宋" w:eastAsia="仿宋"/>
          <w:b w:val="true"/>
          <w:bCs w:val="true"/>
          <w:color w:val="000000"/>
          <w:sz w:val="28"/>
          <w:szCs w:val="28"/>
        </w:rPr>
      </w:pPr>
      <w:r>
        <w:rPr>
          <w:rFonts w:ascii="仿宋" w:hAnsi="仿宋" w:eastAsia="仿宋"/>
          <w:b w:val="true"/>
          <w:bCs w:val="true"/>
          <w:color w:val="000000"/>
          <w:sz w:val="28"/>
          <w:szCs w:val="28"/>
        </w:rPr>
        <w:t>D 人格养成</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D1 刻苦务实、意志坚强</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D1.1 教育引导学生刻苦学习、求真务实，在艰苦奋斗中锤炼意志品质。</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D1.2 教育引导学生勇于实践，树立正确的挫折观，在实践中增长智慧才干。</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D2努力拼搏，敢为人先</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D2.1 培养学生要有敢为人先的锐气，勇于挑战自我,敢于批判与质疑。</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D2.2 培养学生的改革意识，勇于创新创造，努力走在全社会创新的前列。</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D3诚实守信，忠于职守</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D3.1 学习和传承中华民族传统美德，学习和弘扬社会主义新风尚，与人为善，诚实守信。</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D3.2 强化学生的责任担当意识，认真履行职责，爱岗敬业。</w:t>
      </w:r>
    </w:p>
    <w:p>
      <w:pPr>
        <w:snapToGrid w:val="false"/>
        <w:spacing w:before="0" w:after="0" w:line="480" w:lineRule="exact"/>
        <w:ind w:leftChars="0" w:firstLineChars="200"/>
        <w:jc w:val="left"/>
        <w:rPr>
          <w:rFonts w:ascii="仿宋" w:hAnsi="仿宋" w:eastAsia="仿宋"/>
          <w:color w:val="000000"/>
          <w:sz w:val="28"/>
          <w:szCs w:val="28"/>
        </w:rPr>
      </w:pPr>
      <w:r>
        <w:rPr>
          <w:rFonts w:ascii="仿宋" w:hAnsi="仿宋" w:eastAsia="仿宋"/>
          <w:color w:val="000000"/>
          <w:sz w:val="28"/>
          <w:szCs w:val="28"/>
        </w:rPr>
        <w:t>D4身心和谐、体魄强健</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D4.1 培养学生自尊自信、理性平和、积极向上的健康心态。</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D4.2 教育引导学生树立健康第一的教育理念，在体育锻炼和劳动教育中享受乐趣、增强体质、健全人格、锤炼意志。</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D5崇礼明德，仁爱宽容</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D5.1 引导学生不断提升道德认知，强化道德自律，砥砺道德实践，践行文明礼仪，明大德、守公德、严私德，严格约束自己的操守和行为。</w:t>
      </w:r>
    </w:p>
    <w:p>
      <w:pPr>
        <w:snapToGrid w:val="false"/>
        <w:spacing w:before="0" w:after="0" w:line="480" w:lineRule="exact"/>
        <w:ind w:leftChars="400" w:firstLineChars="200"/>
        <w:jc w:val="left"/>
        <w:rPr>
          <w:rFonts w:ascii="仿宋" w:hAnsi="仿宋" w:eastAsia="仿宋"/>
          <w:color w:val="000000"/>
          <w:sz w:val="28"/>
          <w:szCs w:val="28"/>
        </w:rPr>
      </w:pPr>
      <w:r>
        <w:rPr>
          <w:rFonts w:ascii="仿宋" w:hAnsi="仿宋" w:eastAsia="仿宋"/>
          <w:color w:val="000000"/>
          <w:sz w:val="28"/>
          <w:szCs w:val="28"/>
        </w:rPr>
        <w:t>D5</w:t>
      </w:r>
      <w:r>
        <w:rPr>
          <w:rFonts w:ascii="仿宋" w:hAnsi="仿宋" w:eastAsia="仿宋"/>
          <w:color w:val="000000"/>
          <w:sz w:val="28"/>
          <w:szCs w:val="28"/>
        </w:rPr>
        <w:t>.2 培养学生的仁爱之心，树立以人民为中心的价值追求，互敬互重、彼此包容、和谐相处。</w:t>
      </w:r>
    </w:p>
    <w:p>
      <w:pPr>
        <w:pStyle w:val="heading1"/>
        <w:numPr>
          <w:ilvl w:val="0"/>
          <w:numId w:val="33"/>
        </w:numPr>
        <w:snapToGrid w:val="false"/>
        <w:spacing w:line="480" w:lineRule="exact"/>
        <w:ind w:leftChars="220" w:hangingChars="220"/>
        <w:jc w:val="left"/>
        <w:rPr>
          <w:rFonts w:ascii="仿宋" w:hAnsi="仿宋" w:eastAsia="仿宋"/>
          <w:color w:val="000000"/>
          <w:sz w:val="32"/>
          <w:szCs w:val="32"/>
        </w:rPr>
      </w:pPr>
      <w:r>
        <w:rPr>
          <w:rFonts w:hint="eastAsia"/>
        </w:rPr>
      </w:r>
      <w:r>
        <w:rPr>
          <w:rFonts w:ascii="仿宋" w:hAnsi="仿宋" w:eastAsia="仿宋"/>
          <w:color w:val="000000"/>
          <w:sz w:val="32"/>
          <w:szCs w:val="32"/>
        </w:rPr>
        <w:t>课程体系</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本专业课程体系由通识教育课程、专业教育课程、专业实践类课程、个性化教育课程和交叉模块课程五大模块构成，各模块要求如下：</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1.通识教育课程</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通识教育课程包括公共必修课23学分、通识核心课10学分和公共选修课。其中，公共选修课为英语选修课，全部修业期间须修满6学分，且须达到学校英语培养目标基本要求，多修学分计入个性化。通识教育课程总学分最低为39学分。</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2.专业教育课程</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专业教育课程由基础必修课、专业必修课、专业选修课三大部分组成。</w:t>
      </w:r>
    </w:p>
    <w:p>
      <w:pPr>
        <w:snapToGrid w:val="false"/>
        <w:spacing w:before="60" w:after="60" w:line="480" w:lineRule="exact"/>
        <w:ind w:firstLineChars="200"/>
        <w:jc w:val="left"/>
        <w:rPr>
          <w:rFonts w:ascii="仿宋" w:hAnsi="仿宋" w:eastAsia="仿宋"/>
          <w:color w:val="333333"/>
          <w:sz w:val="28"/>
          <w:szCs w:val="28"/>
        </w:rPr>
      </w:pPr>
      <w:r>
        <w:rPr>
          <w:rFonts w:ascii="仿宋" w:hAnsi="仿宋" w:eastAsia="仿宋"/>
          <w:color w:val="000000"/>
          <w:sz w:val="28"/>
          <w:szCs w:val="28"/>
        </w:rPr>
        <w:t>基</w:t>
      </w:r>
      <w:r>
        <w:rPr>
          <w:rFonts w:ascii="仿宋" w:hAnsi="仿宋" w:eastAsia="仿宋"/>
          <w:color w:val="333333"/>
          <w:sz w:val="28"/>
          <w:szCs w:val="28"/>
        </w:rPr>
        <w:t>础必修课包括涉及数学、物理、化学、电学、理学、计算机等知识的14门必修课程，共53学分，须修满全部。</w:t>
      </w:r>
    </w:p>
    <w:p>
      <w:pPr>
        <w:snapToGrid w:val="false"/>
        <w:spacing w:before="60" w:after="60" w:line="480" w:lineRule="exact"/>
        <w:ind w:firstLineChars="200"/>
        <w:jc w:val="left"/>
        <w:rPr>
          <w:rFonts w:ascii="仿宋" w:hAnsi="仿宋" w:eastAsia="仿宋"/>
          <w:color w:val="333333"/>
          <w:sz w:val="28"/>
          <w:szCs w:val="28"/>
        </w:rPr>
      </w:pPr>
      <w:r>
        <w:rPr>
          <w:rFonts w:ascii="仿宋" w:hAnsi="仿宋" w:eastAsia="仿宋"/>
          <w:color w:val="333333"/>
          <w:sz w:val="28"/>
          <w:szCs w:val="28"/>
        </w:rPr>
        <w:t>专业必修课8门课程，共23学分，须修满全部。</w:t>
      </w:r>
    </w:p>
    <w:p>
      <w:pPr>
        <w:snapToGrid w:val="false"/>
        <w:spacing w:before="60" w:after="60" w:line="480" w:lineRule="exact"/>
        <w:ind w:firstLineChars="200"/>
        <w:jc w:val="left"/>
        <w:rPr>
          <w:rFonts w:ascii="仿宋" w:hAnsi="仿宋" w:eastAsia="仿宋"/>
          <w:color w:val="333333"/>
          <w:sz w:val="28"/>
          <w:szCs w:val="28"/>
        </w:rPr>
      </w:pPr>
      <w:r>
        <w:rPr>
          <w:rFonts w:ascii="仿宋" w:hAnsi="仿宋" w:eastAsia="仿宋"/>
          <w:color w:val="333333"/>
          <w:sz w:val="28"/>
          <w:szCs w:val="28"/>
        </w:rPr>
        <w:t>专业选修课要求最低修满15学分，学生必须修完选修核心课中的2门课共6学分，专业选修自选课中任选2门课共6学分，剩余3学分可在专业选修课中任选。</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3.实践教育课程</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专业实践课程由必修的实验、各类实习实践、专业综合训练等类课程组成，共须修满26学分。</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4.个性化教育课程</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个性化教育课程可选修本专业培养计划规定学分以为外、全校范围内的任何可获得学分课程，包括：本专业选修、公共选修、外专业培养计划内课程；大学生PRP项目、大学生科创项目等实践活动。个性化教育课程须修满6学分。选修二专或辅修专业所获学分可冲抵个性化教育课程学分。</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5.交叉模块课程</w:t>
      </w:r>
    </w:p>
    <w:p>
      <w:pPr>
        <w:snapToGrid w:val="false"/>
        <w:spacing w:before="0" w:after="0" w:line="480" w:lineRule="exact"/>
        <w:ind w:firstLineChars="200"/>
        <w:jc w:val="left"/>
        <w:rPr>
          <w:rFonts w:ascii="仿宋" w:hAnsi="仿宋" w:eastAsia="仿宋"/>
          <w:color w:val="000000"/>
          <w:sz w:val="28"/>
          <w:szCs w:val="28"/>
        </w:rPr>
      </w:pPr>
      <w:r>
        <w:rPr>
          <w:rFonts w:ascii="仿宋" w:hAnsi="仿宋" w:eastAsia="仿宋"/>
          <w:color w:val="000000"/>
          <w:sz w:val="28"/>
          <w:szCs w:val="28"/>
        </w:rPr>
        <w:t>根据学校规定，选修一个交叉模块，并修满6学分。</w:t>
      </w:r>
    </w:p>
    <w:p>
      <w:pPr>
        <w:pStyle w:val="heading1"/>
        <w:numPr>
          <w:ilvl w:val="0"/>
          <w:numId w:val="33"/>
        </w:numPr>
        <w:snapToGrid w:val="false"/>
        <w:spacing w:line="480" w:lineRule="exact"/>
        <w:ind w:leftChars="220" w:hangingChars="220"/>
        <w:jc w:val="left"/>
        <w:rPr>
          <w:rFonts w:ascii="仿宋" w:hAnsi="仿宋" w:eastAsia="仿宋"/>
          <w:color w:val="000000"/>
          <w:sz w:val="32"/>
          <w:szCs w:val="32"/>
        </w:rPr>
      </w:pPr>
      <w:r>
        <w:rPr>
          <w:rFonts w:hint="eastAsia"/>
        </w:rPr>
      </w:r>
      <w:r>
        <w:rPr>
          <w:rFonts w:ascii="仿宋" w:hAnsi="仿宋" w:eastAsia="仿宋"/>
          <w:color w:val="000000"/>
          <w:sz w:val="32"/>
          <w:szCs w:val="32"/>
        </w:rPr>
        <w:t>学制、毕业学位</w:t>
      </w:r>
    </w:p>
    <w:p>
      <w:pPr>
        <w:snapToGrid w:val="false"/>
        <w:spacing w:before="60" w:after="60" w:line="480" w:lineRule="exact"/>
        <w:ind w:firstLineChars="200"/>
        <w:jc w:val="left"/>
        <w:rPr>
          <w:rFonts w:ascii="仿宋" w:hAnsi="仿宋" w:eastAsia="仿宋"/>
          <w:color w:val="000000"/>
          <w:sz w:val="28"/>
          <w:szCs w:val="28"/>
        </w:rPr>
      </w:pPr>
      <w:r>
        <w:rPr>
          <w:rFonts w:ascii="仿宋" w:hAnsi="仿宋" w:eastAsia="仿宋"/>
          <w:color w:val="000000"/>
          <w:sz w:val="28"/>
          <w:szCs w:val="28"/>
        </w:rPr>
        <w:t>“海洋科学（物理海洋与观测技术方向）”专业学制4年，允许学生在修完本专业培养计划规定的168学分后提前毕业，也允许延长学习年限，但一般不得超过六年。学生修读完本培养计划规定的课程及教学实践环节，取得规定的学分，完成毕业设计（论文），通过答辩，德智体考核合格，</w:t>
      </w:r>
      <w:r>
        <w:rPr>
          <w:rFonts w:ascii="仿宋" w:hAnsi="仿宋" w:eastAsia="仿宋"/>
          <w:color w:val="333333"/>
          <w:sz w:val="28"/>
          <w:szCs w:val="28"/>
        </w:rPr>
        <w:t>并通过游泳技能达标测试，</w:t>
      </w:r>
      <w:r>
        <w:rPr>
          <w:rFonts w:ascii="仿宋" w:hAnsi="仿宋" w:eastAsia="仿宋"/>
          <w:color w:val="000000"/>
          <w:sz w:val="28"/>
          <w:szCs w:val="28"/>
        </w:rPr>
        <w:t>按照《中华人民共和国学位条例》规定的条件授予理学学士学位。</w:t>
      </w:r>
    </w:p>
    <w:p>
      <w:pPr>
        <w:snapToGrid w:val="false"/>
        <w:spacing w:before="60" w:after="60" w:line="480" w:lineRule="exact"/>
        <w:ind/>
        <w:jc w:val="left"/>
        <w:rPr>
          <w:rFonts w:ascii="仿宋" w:hAnsi="仿宋" w:eastAsia="仿宋"/>
          <w:color w:val="000000"/>
          <w:sz w:val="22"/>
          <w:szCs w:val="22"/>
        </w:rPr>
      </w:pPr>
      <w:r>
        <w:rPr>
          <w:rFonts w:ascii="仿宋" w:hAnsi="仿宋" w:eastAsia="仿宋"/>
          <w:color w:val="000000"/>
          <w:sz w:val="22"/>
          <w:szCs w:val="22"/>
        </w:rPr>
      </w:r>
    </w:p>
    <w:sectPr w:rsidR="00C604EC">
      <w:pgSz w:w="11906" w:h="16838"/>
      <w:pgMar w:top="1361" w:right="1417" w:bottom="1361" w:left="1417" w:header="851" w:footer="992" w:gutter="0"/>
      <w:cols w:space="425"/>
      <w:docGrid w:type="lines" w:linePitch="312"/>
    </w:sectPr>
  </w:body>
</w:document>
</file>

<file path=word/comments.xml><?xml version="1.0" encoding="utf-8"?>
<w:comment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file>

<file path=word/commentsExtended.xml><?xml version="1.0" encoding="utf-8"?>
<w15:commentsEx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p14">
  <w:abstractNum w:abstractNumId="0">
    <w:nsid w:val="1E537D43"/>
    <w:multiLevelType w:val="multilevel"/>
    <w:tmpl w:val="1E537D43"/>
    <w:lvl w:ilvl="0">
      <w:start w:val="1"/>
      <w:numFmt w:val="bullet"/>
      <w:lvlText w:val=""/>
      <w:lvlJc w:val="left"/>
      <w:pPr>
        <w:ind w:left="227" w:hanging="227"/>
      </w:pPr>
      <w:rPr>
        <w:rFonts w:hint="default" w:ascii="Wingdings" w:hAnsi="Wingdings"/>
      </w:rPr>
    </w:lvl>
    <w:lvl w:ilvl="1">
      <w:start w:val="1"/>
      <w:numFmt w:val="bullet"/>
      <w:lvlText w:val=""/>
      <w:lvlJc w:val="left"/>
      <w:pPr>
        <w:ind w:left="567" w:hanging="227"/>
      </w:pPr>
      <w:rPr>
        <w:rFonts w:hint="default" w:ascii="Wingdings" w:hAnsi="Wingdings"/>
      </w:rPr>
    </w:lvl>
    <w:lvl w:ilvl="2">
      <w:start w:val="1"/>
      <w:numFmt w:val="bullet"/>
      <w:lvlText w:val=""/>
      <w:lvlJc w:val="left"/>
      <w:pPr>
        <w:ind w:left="907" w:hanging="227"/>
      </w:pPr>
      <w:rPr>
        <w:rFonts w:hint="default" w:ascii="Wingdings" w:hAnsi="Wingdings"/>
      </w:rPr>
    </w:lvl>
    <w:lvl w:ilvl="3">
      <w:start w:val="1"/>
      <w:numFmt w:val="bullet"/>
      <w:lvlText w:val=""/>
      <w:lvlJc w:val="left"/>
      <w:pPr>
        <w:ind w:left="1247" w:hanging="227"/>
      </w:pPr>
      <w:rPr>
        <w:rFonts w:hint="default" w:ascii="Wingdings" w:hAnsi="Wingdings"/>
      </w:rPr>
    </w:lvl>
    <w:lvl w:ilvl="4">
      <w:start w:val="1"/>
      <w:numFmt w:val="bullet"/>
      <w:lvlText w:val=""/>
      <w:lvlJc w:val="left"/>
      <w:pPr>
        <w:ind w:left="1587" w:hanging="227"/>
      </w:pPr>
      <w:rPr>
        <w:rFonts w:hint="default" w:ascii="Wingdings" w:hAnsi="Wingdings"/>
      </w:rPr>
    </w:lvl>
    <w:lvl w:ilvl="5">
      <w:start w:val="1"/>
      <w:numFmt w:val="bullet"/>
      <w:lvlText w:val=""/>
      <w:lvlJc w:val="left"/>
      <w:pPr>
        <w:ind w:left="1927" w:hanging="227"/>
      </w:pPr>
      <w:rPr>
        <w:rFonts w:hint="default" w:ascii="Wingdings" w:hAnsi="Wingdings"/>
      </w:rPr>
    </w:lvl>
    <w:lvl w:ilvl="6">
      <w:start w:val="1"/>
      <w:numFmt w:val="bullet"/>
      <w:lvlText w:val=""/>
      <w:lvlJc w:val="left"/>
      <w:pPr>
        <w:ind w:left="2267" w:hanging="227"/>
      </w:pPr>
      <w:rPr>
        <w:rFonts w:hint="default" w:ascii="Wingdings" w:hAnsi="Wingdings"/>
      </w:rPr>
    </w:lvl>
    <w:lvl w:ilvl="7">
      <w:start w:val="1"/>
      <w:numFmt w:val="bullet"/>
      <w:lvlText w:val=""/>
      <w:lvlJc w:val="left"/>
      <w:pPr>
        <w:ind w:left="2607" w:hanging="227"/>
      </w:pPr>
      <w:rPr>
        <w:rFonts w:hint="default" w:ascii="Wingdings" w:hAnsi="Wingdings"/>
      </w:rPr>
    </w:lvl>
    <w:lvl w:ilvl="8">
      <w:start w:val="1"/>
      <w:numFmt w:val="bullet"/>
      <w:lvlText w:val=""/>
      <w:lvlJc w:val="left"/>
      <w:pPr>
        <w:ind w:left="2947" w:hanging="227"/>
      </w:pPr>
      <w:rPr>
        <w:rFonts w:hint="default" w:ascii="Wingdings" w:hAnsi="Wingdings"/>
      </w:rPr>
    </w:lvl>
  </w:abstractNum>
  <w:abstractNum w:abstractNumId="1">
    <w:nsid w:val="323C7824"/>
    <w:multiLevelType w:val="multilevel"/>
    <w:tmpl w:val="323C7824"/>
    <w:lvl w:ilvl="0">
      <w:start w:val="1"/>
      <w:numFmt w:val="bullet"/>
      <w:lvlText w:val=""/>
      <w:lvlJc w:val="left"/>
      <w:pPr>
        <w:ind w:left="227" w:hanging="227"/>
      </w:pPr>
      <w:rPr>
        <w:rFonts w:hint="default" w:ascii="Wingdings" w:hAnsi="Wingdings"/>
      </w:rPr>
    </w:lvl>
    <w:lvl w:ilvl="1">
      <w:start w:val="1"/>
      <w:numFmt w:val="bullet"/>
      <w:lvlText w:val=""/>
      <w:lvlJc w:val="left"/>
      <w:pPr>
        <w:ind w:left="567" w:hanging="227"/>
      </w:pPr>
      <w:rPr>
        <w:rFonts w:hint="default" w:ascii="Wingdings" w:hAnsi="Wingdings"/>
      </w:rPr>
    </w:lvl>
    <w:lvl w:ilvl="2">
      <w:start w:val="1"/>
      <w:numFmt w:val="bullet"/>
      <w:lvlText w:val=""/>
      <w:lvlJc w:val="left"/>
      <w:pPr>
        <w:ind w:left="907" w:hanging="227"/>
      </w:pPr>
      <w:rPr>
        <w:rFonts w:hint="default" w:ascii="Wingdings" w:hAnsi="Wingdings"/>
      </w:rPr>
    </w:lvl>
    <w:lvl w:ilvl="3">
      <w:start w:val="1"/>
      <w:numFmt w:val="bullet"/>
      <w:lvlText w:val=""/>
      <w:lvlJc w:val="left"/>
      <w:pPr>
        <w:ind w:left="1247" w:hanging="227"/>
      </w:pPr>
      <w:rPr>
        <w:rFonts w:hint="default" w:ascii="Wingdings" w:hAnsi="Wingdings"/>
      </w:rPr>
    </w:lvl>
    <w:lvl w:ilvl="4">
      <w:start w:val="1"/>
      <w:numFmt w:val="bullet"/>
      <w:lvlText w:val=""/>
      <w:lvlJc w:val="left"/>
      <w:pPr>
        <w:ind w:left="1587" w:hanging="227"/>
      </w:pPr>
      <w:rPr>
        <w:rFonts w:hint="default" w:ascii="Wingdings" w:hAnsi="Wingdings"/>
      </w:rPr>
    </w:lvl>
    <w:lvl w:ilvl="5">
      <w:start w:val="1"/>
      <w:numFmt w:val="bullet"/>
      <w:lvlText w:val=""/>
      <w:lvlJc w:val="left"/>
      <w:pPr>
        <w:ind w:left="1927" w:hanging="227"/>
      </w:pPr>
      <w:rPr>
        <w:rFonts w:hint="default" w:ascii="Wingdings" w:hAnsi="Wingdings"/>
      </w:rPr>
    </w:lvl>
    <w:lvl w:ilvl="6">
      <w:start w:val="1"/>
      <w:numFmt w:val="bullet"/>
      <w:lvlText w:val=""/>
      <w:lvlJc w:val="left"/>
      <w:pPr>
        <w:ind w:left="2267" w:hanging="227"/>
      </w:pPr>
      <w:rPr>
        <w:rFonts w:hint="default" w:ascii="Wingdings" w:hAnsi="Wingdings"/>
      </w:rPr>
    </w:lvl>
    <w:lvl w:ilvl="7">
      <w:start w:val="1"/>
      <w:numFmt w:val="bullet"/>
      <w:lvlText w:val=""/>
      <w:lvlJc w:val="left"/>
      <w:pPr>
        <w:ind w:left="2607" w:hanging="227"/>
      </w:pPr>
      <w:rPr>
        <w:rFonts w:hint="default" w:ascii="Wingdings" w:hAnsi="Wingdings"/>
      </w:rPr>
    </w:lvl>
    <w:lvl w:ilvl="8">
      <w:start w:val="1"/>
      <w:numFmt w:val="bullet"/>
      <w:lvlText w:val=""/>
      <w:lvlJc w:val="left"/>
      <w:pPr>
        <w:ind w:left="2947" w:hanging="227"/>
      </w:pPr>
      <w:rPr>
        <w:rFonts w:hint="default" w:ascii="Wingdings" w:hAnsi="Wingdings"/>
      </w:rPr>
    </w:lvl>
  </w:abstractNum>
  <w:abstractNum w:abstractNumId="2">
    <w:nsid w:val="513362E4"/>
    <w:multiLevelType w:val="multilevel"/>
    <w:tmpl w:val="513362E4"/>
    <w:lvl w:ilvl="0">
      <w:start w:val="1"/>
      <w:numFmt w:val="bullet"/>
      <w:lvlText w:val=""/>
      <w:lvlJc w:val="left"/>
      <w:pPr>
        <w:ind w:left="227" w:hanging="227"/>
      </w:pPr>
      <w:rPr>
        <w:rFonts w:hint="default" w:ascii="Wingdings" w:hAnsi="Wingdings"/>
      </w:rPr>
    </w:lvl>
    <w:lvl w:ilvl="1">
      <w:start w:val="1"/>
      <w:numFmt w:val="bullet"/>
      <w:lvlText w:val=""/>
      <w:lvlJc w:val="left"/>
      <w:pPr>
        <w:ind w:left="567" w:hanging="227"/>
      </w:pPr>
      <w:rPr>
        <w:rFonts w:hint="default" w:ascii="Wingdings" w:hAnsi="Wingdings"/>
      </w:rPr>
    </w:lvl>
    <w:lvl w:ilvl="2">
      <w:start w:val="1"/>
      <w:numFmt w:val="bullet"/>
      <w:lvlText w:val=""/>
      <w:lvlJc w:val="left"/>
      <w:pPr>
        <w:ind w:left="907" w:hanging="227"/>
      </w:pPr>
      <w:rPr>
        <w:rFonts w:hint="default" w:ascii="Wingdings" w:hAnsi="Wingdings"/>
      </w:rPr>
    </w:lvl>
    <w:lvl w:ilvl="3">
      <w:start w:val="1"/>
      <w:numFmt w:val="bullet"/>
      <w:lvlText w:val=""/>
      <w:lvlJc w:val="left"/>
      <w:pPr>
        <w:ind w:left="1247" w:hanging="227"/>
      </w:pPr>
      <w:rPr>
        <w:rFonts w:hint="default" w:ascii="Wingdings" w:hAnsi="Wingdings"/>
      </w:rPr>
    </w:lvl>
    <w:lvl w:ilvl="4">
      <w:start w:val="1"/>
      <w:numFmt w:val="bullet"/>
      <w:lvlText w:val=""/>
      <w:lvlJc w:val="left"/>
      <w:pPr>
        <w:ind w:left="1587" w:hanging="227"/>
      </w:pPr>
      <w:rPr>
        <w:rFonts w:hint="default" w:ascii="Wingdings" w:hAnsi="Wingdings"/>
      </w:rPr>
    </w:lvl>
    <w:lvl w:ilvl="5">
      <w:start w:val="1"/>
      <w:numFmt w:val="bullet"/>
      <w:lvlText w:val=""/>
      <w:lvlJc w:val="left"/>
      <w:pPr>
        <w:ind w:left="1927" w:hanging="227"/>
      </w:pPr>
      <w:rPr>
        <w:rFonts w:hint="default" w:ascii="Wingdings" w:hAnsi="Wingdings"/>
      </w:rPr>
    </w:lvl>
    <w:lvl w:ilvl="6">
      <w:start w:val="1"/>
      <w:numFmt w:val="bullet"/>
      <w:lvlText w:val=""/>
      <w:lvlJc w:val="left"/>
      <w:pPr>
        <w:ind w:left="2267" w:hanging="227"/>
      </w:pPr>
      <w:rPr>
        <w:rFonts w:hint="default" w:ascii="Wingdings" w:hAnsi="Wingdings"/>
      </w:rPr>
    </w:lvl>
    <w:lvl w:ilvl="7">
      <w:start w:val="1"/>
      <w:numFmt w:val="bullet"/>
      <w:lvlText w:val=""/>
      <w:lvlJc w:val="left"/>
      <w:pPr>
        <w:ind w:left="2607" w:hanging="227"/>
      </w:pPr>
      <w:rPr>
        <w:rFonts w:hint="default" w:ascii="Wingdings" w:hAnsi="Wingdings"/>
      </w:rPr>
    </w:lvl>
    <w:lvl w:ilvl="8">
      <w:start w:val="1"/>
      <w:numFmt w:val="bullet"/>
      <w:lvlText w:val=""/>
      <w:lvlJc w:val="left"/>
      <w:pPr>
        <w:ind w:left="2947" w:hanging="227"/>
      </w:pPr>
      <w:rPr>
        <w:rFonts w:hint="default" w:ascii="Wingdings" w:hAnsi="Wingdings"/>
      </w:rPr>
    </w:lvl>
  </w:abstractNum>
  <w:abstractNum w:abstractNumId="3">
    <w:nsid w:val="5AA9370F"/>
    <w:multiLevelType w:val="multilevel"/>
    <w:tmpl w:val="5AA9370F"/>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4">
    <w:nsid w:val="5AA93721"/>
    <w:multiLevelType w:val="multilevel"/>
    <w:tmpl w:val="5AA937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5">
    <w:nsid w:val="5AA9374C"/>
    <w:multiLevelType w:val="multilevel"/>
    <w:tmpl w:val="5AA9374C"/>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6">
    <w:nsid w:val="5AA93847"/>
    <w:multiLevelType w:val="multilevel"/>
    <w:tmpl w:val="5AA93847"/>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7">
    <w:nsid w:val="5AA9385D"/>
    <w:multiLevelType w:val="multilevel"/>
    <w:tmpl w:val="5AA9385D"/>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8">
    <w:nsid w:val="5AA93871"/>
    <w:multiLevelType w:val="multilevel"/>
    <w:tmpl w:val="5AA9387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9">
    <w:nsid w:val="5AA93884"/>
    <w:multiLevelType w:val="multilevel"/>
    <w:tmpl w:val="5AA9388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0">
    <w:nsid w:val="5AA938A6"/>
    <w:multiLevelType w:val="multilevel"/>
    <w:tmpl w:val="5AA938A6"/>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1">
    <w:nsid w:val="5AA938BA"/>
    <w:multiLevelType w:val="multilevel"/>
    <w:tmpl w:val="5AA938B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2">
    <w:nsid w:val="5AA939C1"/>
    <w:multiLevelType w:val="multilevel"/>
    <w:tmpl w:val="5AA939C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3">
    <w:nsid w:val="5AA939F5"/>
    <w:multiLevelType w:val="multilevel"/>
    <w:tmpl w:val="5AA939F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4">
    <w:nsid w:val="5AA93A09"/>
    <w:multiLevelType w:val="multilevel"/>
    <w:tmpl w:val="5AA93A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5">
    <w:nsid w:val="5AA9DAE5"/>
    <w:multiLevelType w:val="multilevel"/>
    <w:tmpl w:val="5AA9DAE5"/>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6">
    <w:nsid w:val="5AA9DAF8"/>
    <w:multiLevelType w:val="multilevel"/>
    <w:tmpl w:val="5AA9DAF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7">
    <w:nsid w:val="5AA9DB09"/>
    <w:multiLevelType w:val="multilevel"/>
    <w:tmpl w:val="5AA9DB0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8">
    <w:nsid w:val="5AA9DB19"/>
    <w:multiLevelType w:val="multilevel"/>
    <w:tmpl w:val="5AA9DB1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19">
    <w:nsid w:val="5AA9DB29"/>
    <w:multiLevelType w:val="multilevel"/>
    <w:tmpl w:val="5AA9DB2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0">
    <w:nsid w:val="5AA9DB3A"/>
    <w:multiLevelType w:val="multilevel"/>
    <w:tmpl w:val="5AA9DB3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1">
    <w:nsid w:val="5AA9DB4A"/>
    <w:multiLevelType w:val="multilevel"/>
    <w:tmpl w:val="5AA9DB4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2">
    <w:nsid w:val="5AA9DB5A"/>
    <w:multiLevelType w:val="multilevel"/>
    <w:tmpl w:val="5AA9DB5A"/>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3">
    <w:nsid w:val="5AA9DC10"/>
    <w:multiLevelType w:val="multilevel"/>
    <w:tmpl w:val="5AA9DC10"/>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4">
    <w:nsid w:val="5AA9DC21"/>
    <w:multiLevelType w:val="multilevel"/>
    <w:tmpl w:val="5AA9DC21"/>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5">
    <w:nsid w:val="5AA9DC48"/>
    <w:multiLevelType w:val="multilevel"/>
    <w:tmpl w:val="5AA9DC48"/>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6">
    <w:nsid w:val="5AA9DC59"/>
    <w:multiLevelType w:val="multilevel"/>
    <w:tmpl w:val="5AA9DC59"/>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7">
    <w:nsid w:val="5AA9DD04"/>
    <w:multiLevelType w:val="multilevel"/>
    <w:tmpl w:val="5AA9DD0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8">
    <w:nsid w:val="5AA9DD14"/>
    <w:multiLevelType w:val="multilevel"/>
    <w:tmpl w:val="5AA9DD1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29">
    <w:nsid w:val="5AA9DD24"/>
    <w:multiLevelType w:val="multilevel"/>
    <w:tmpl w:val="5AA9DD24"/>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0">
    <w:nsid w:val="5B4947AB"/>
    <w:multiLevelType w:val="multilevel"/>
    <w:tmpl w:val="5B4947AB"/>
    <w:lvl w:ilvl="0">
      <w:start w:val="1"/>
      <w:numFmt w:val="decimal"/>
      <w:lvlText w:val="%1."/>
      <w:lvlJc w:val="left"/>
      <w:pPr>
        <w:ind w:left="227" w:hanging="227"/>
      </w:pPr>
      <w:rPr>
        <w:rFonts w:hint="eastAsia"/>
      </w:rPr>
    </w:lvl>
    <w:lvl w:ilvl="1">
      <w:start w:val="1"/>
      <w:numFmt w:val="lowerLetter"/>
      <w:suff w:val="space"/>
      <w:lvlText w:val="%2."/>
      <w:lvlJc w:val="left"/>
      <w:pPr>
        <w:ind w:left="680" w:hanging="226"/>
      </w:pPr>
      <w:rPr>
        <w:rFonts w:hint="default" w:ascii="Times New Roman" w:hAnsi="Times New Roman"/>
      </w:rPr>
    </w:lvl>
    <w:lvl w:ilvl="2">
      <w:start w:val="1"/>
      <w:numFmt w:val="lowerRoman"/>
      <w:suff w:val="space"/>
      <w:lvlText w:val="%3."/>
      <w:lvlJc w:val="left"/>
      <w:pPr>
        <w:ind w:left="1134" w:hanging="226"/>
      </w:pPr>
      <w:rPr>
        <w:rFonts w:hint="eastAsia"/>
      </w:rPr>
    </w:lvl>
    <w:lvl w:ilvl="3">
      <w:start w:val="1"/>
      <w:numFmt w:val="decimal"/>
      <w:suff w:val="space"/>
      <w:lvlText w:val="%4."/>
      <w:lvlJc w:val="left"/>
      <w:pPr>
        <w:ind w:left="1588" w:hanging="226"/>
      </w:pPr>
      <w:rPr>
        <w:rFonts w:hint="eastAsia"/>
      </w:rPr>
    </w:lvl>
    <w:lvl w:ilvl="4">
      <w:start w:val="1"/>
      <w:numFmt w:val="lowerLetter"/>
      <w:suff w:val="space"/>
      <w:lvlText w:val="%5."/>
      <w:lvlJc w:val="left"/>
      <w:pPr>
        <w:ind w:left="2041" w:hanging="225"/>
      </w:pPr>
      <w:rPr>
        <w:rFonts w:hint="eastAsia"/>
      </w:rPr>
    </w:lvl>
    <w:lvl w:ilvl="5">
      <w:start w:val="1"/>
      <w:numFmt w:val="lowerRoman"/>
      <w:suff w:val="space"/>
      <w:lvlText w:val="%6."/>
      <w:lvlJc w:val="left"/>
      <w:pPr>
        <w:ind w:left="2495" w:hanging="225"/>
      </w:pPr>
      <w:rPr>
        <w:rFonts w:hint="eastAsia"/>
      </w:rPr>
    </w:lvl>
    <w:lvl w:ilvl="6">
      <w:start w:val="1"/>
      <w:numFmt w:val="decimal"/>
      <w:suff w:val="space"/>
      <w:lvlText w:val="%7."/>
      <w:lvlJc w:val="left"/>
      <w:pPr>
        <w:ind w:left="2948" w:hanging="224"/>
      </w:pPr>
      <w:rPr>
        <w:rFonts w:hint="eastAsia"/>
      </w:rPr>
    </w:lvl>
    <w:lvl w:ilvl="7">
      <w:start w:val="1"/>
      <w:numFmt w:val="lowerLetter"/>
      <w:suff w:val="space"/>
      <w:lvlText w:val="%8."/>
      <w:lvlJc w:val="left"/>
      <w:pPr>
        <w:ind w:left="3402" w:hanging="224"/>
      </w:pPr>
      <w:rPr>
        <w:rFonts w:hint="eastAsia"/>
      </w:rPr>
    </w:lvl>
    <w:lvl w:ilvl="8">
      <w:start w:val="1"/>
      <w:numFmt w:val="lowerRoman"/>
      <w:suff w:val="space"/>
      <w:lvlText w:val="%9."/>
      <w:lvlJc w:val="left"/>
      <w:pPr>
        <w:ind w:left="3856" w:hanging="227"/>
      </w:pPr>
      <w:rPr>
        <w:rFonts w:hint="eastAsia"/>
      </w:rPr>
    </w:lvl>
  </w:abstractNum>
  <w:abstractNum w:abstractNumId="33">
    <w:multiLevelType w:val="multilevel"/>
    <w:lvl w:ilvl="0" w:tentative="false">
      <w:start w:val="1"/>
      <w:numFmt w:val="chineseCountingThousand"/>
      <w:lvlText w:val="%1、"/>
      <w:lvlJc w:val="left"/>
      <w:pPr>
        <w:ind w:left="420" w:hanging="420"/>
      </w:pPr>
      <w:rPr>
        <w:rFonts w:hint="default" w:ascii="FangSong,STFangSong,仿宋,sans-ser" w:hAnsi="FangSong,STFangSong,仿宋,sans-ser" w:eastAsia="FangSong,STFangSong,仿宋,sans-ser"/>
        <w:b/>
        <w:bCs/>
        <w:color w:val="5C5C5C"/>
        <w:sz w:val="36"/>
        <w:szCs w:val="36"/>
      </w:rPr>
    </w:lvl>
    <w:lvl w:ilvl="1" w:tentative="false">
      <w:start w:val="1"/>
      <w:numFmt w:val="decimal"/>
      <w:lvlText w:val="%2、"/>
      <w:lvlJc w:val="left"/>
      <w:pPr>
        <w:ind w:left="840" w:hanging="420"/>
      </w:pPr>
      <w:rPr>
        <w:rFonts w:hint="default" w:ascii="宋体" w:hAnsi="宋体" w:eastAsia="宋体"/>
        <w:bCs/>
      </w:rPr>
    </w:lvl>
    <w:lvl w:ilvl="2" w:tentative="false">
      <w:start w:val="1"/>
      <w:numFmt w:val="lowerLetter"/>
      <w:lvlText w:val="%3)"/>
      <w:lvlJc w:val="left"/>
      <w:pPr>
        <w:ind w:left="1260" w:hanging="420"/>
      </w:pPr>
      <w:rPr>
        <w:rFonts w:hint="default" w:ascii="宋体" w:hAnsi="宋体" w:eastAsia="宋体"/>
        <w:bCs/>
      </w:rPr>
    </w:lvl>
    <w:lvl w:ilvl="3" w:tentative="false">
      <w:start w:val="1"/>
      <w:numFmt w:val="chineseCountingThousand"/>
      <w:lvlText w:val="%4、"/>
      <w:lvlJc w:val="left"/>
      <w:pPr>
        <w:ind w:left="1680" w:hanging="420"/>
      </w:pPr>
      <w:rPr>
        <w:rFonts w:hint="default" w:ascii="宋体" w:hAnsi="宋体" w:eastAsia="宋体"/>
        <w:bCs/>
      </w:rPr>
    </w:lvl>
    <w:lvl w:ilvl="4" w:tentative="false">
      <w:start w:val="1"/>
      <w:numFmt w:val="decimal"/>
      <w:lvlText w:val="%5、"/>
      <w:lvlJc w:val="left"/>
      <w:pPr>
        <w:ind w:left="2100" w:hanging="420"/>
      </w:pPr>
      <w:rPr>
        <w:rFonts w:hint="default" w:ascii="宋体" w:hAnsi="宋体" w:eastAsia="宋体"/>
        <w:bCs/>
      </w:rPr>
    </w:lvl>
    <w:lvl w:ilvl="5" w:tentative="false">
      <w:start w:val="1"/>
      <w:numFmt w:val="lowerLetter"/>
      <w:lvlText w:val="%6)"/>
      <w:lvlJc w:val="left"/>
      <w:pPr>
        <w:ind w:left="2520" w:hanging="420"/>
      </w:pPr>
      <w:rPr>
        <w:rFonts w:hint="default" w:ascii="宋体" w:hAnsi="宋体" w:eastAsia="宋体"/>
        <w:bCs/>
      </w:rPr>
    </w:lvl>
    <w:lvl w:ilvl="6" w:tentative="false">
      <w:start w:val="1"/>
      <w:numFmt w:val="chineseCountingThousand"/>
      <w:lvlText w:val="%7、"/>
      <w:lvlJc w:val="left"/>
      <w:pPr>
        <w:ind w:left="2940" w:hanging="420"/>
      </w:pPr>
      <w:rPr>
        <w:rFonts w:hint="default" w:ascii="宋体" w:hAnsi="宋体" w:eastAsia="宋体"/>
        <w:bCs/>
      </w:rPr>
    </w:lvl>
    <w:lvl w:ilvl="7" w:tentative="false">
      <w:start w:val="1"/>
      <w:numFmt w:val="decimal"/>
      <w:lvlText w:val="%8、"/>
      <w:lvlJc w:val="left"/>
      <w:pPr>
        <w:ind w:left="3360" w:hanging="420"/>
      </w:pPr>
      <w:rPr>
        <w:rFonts w:hint="default" w:ascii="宋体" w:hAnsi="宋体" w:eastAsia="宋体"/>
        <w:bCs/>
      </w:rPr>
    </w:lvl>
    <w:lvl w:ilvl="8" w:tentative="false">
      <w:start w:val="1"/>
      <w:numFmt w:val="decimal"/>
      <w:lvlText w:val=""/>
      <w:lvlJc w:val="left"/>
      <w:pPr>
        <w:ind w:left="3780" w:hanging="420"/>
      </w:pPr>
      <w:rPr>
        <w:rFonts w:hint="default" w:ascii="宋体" w:hAnsi="宋体" w:eastAsia="宋体"/>
        <w:bCs/>
      </w:rPr>
    </w:lvl>
  </w:abstractNum>
  <w:num w:numId="1">
    <w:abstractNumId w:val="30"/>
  </w:num>
  <w:num w:numId="2">
    <w:abstractNumId w:val="5"/>
  </w:num>
  <w:num w:numId="3">
    <w:abstractNumId w:val="3"/>
  </w:num>
  <w:num w:numId="4">
    <w:abstractNumId w:val="4"/>
  </w:num>
  <w:num w:numId="5">
    <w:abstractNumId w:val="6"/>
  </w:num>
  <w:num w:numId="6">
    <w:abstractNumId w:val="7"/>
  </w:num>
  <w:num w:numId="7">
    <w:abstractNumId w:val="8"/>
  </w:num>
  <w:num w:numId="8">
    <w:abstractNumId w:val="9"/>
  </w:num>
  <w:num w:numId="9">
    <w:abstractNumId w:val="10"/>
  </w:num>
  <w:num w:numId="10">
    <w:abstractNumId w:val="11"/>
  </w:num>
  <w:num w:numId="11">
    <w:abstractNumId w:val="12"/>
  </w:num>
  <w:num w:numId="12">
    <w:abstractNumId w:val="13"/>
  </w:num>
  <w:num w:numId="13">
    <w:abstractNumId w:val="14"/>
  </w:num>
  <w:num w:numId="14">
    <w:abstractNumId w:val="15"/>
  </w:num>
  <w:num w:numId="15">
    <w:abstractNumId w:val="16"/>
  </w:num>
  <w:num w:numId="16">
    <w:abstractNumId w:val="17"/>
  </w:num>
  <w:num w:numId="17">
    <w:abstractNumId w:val="18"/>
  </w:num>
  <w:num w:numId="18">
    <w:abstractNumId w:val="19"/>
  </w:num>
  <w:num w:numId="19">
    <w:abstractNumId w:val="20"/>
  </w:num>
  <w:num w:numId="20">
    <w:abstractNumId w:val="21"/>
  </w:num>
  <w:num w:numId="21">
    <w:abstractNumId w:val="22"/>
  </w:num>
  <w:num w:numId="22">
    <w:abstractNumId w:val="23"/>
  </w:num>
  <w:num w:numId="23">
    <w:abstractNumId w:val="24"/>
  </w:num>
  <w:num w:numId="24">
    <w:abstractNumId w:val="25"/>
  </w:num>
  <w:num w:numId="25">
    <w:abstractNumId w:val="26"/>
  </w:num>
  <w:num w:numId="26">
    <w:abstractNumId w:val="27"/>
  </w:num>
  <w:num w:numId="27">
    <w:abstractNumId w:val="28"/>
  </w:num>
  <w:num w:numId="28">
    <w:abstractNumId w:val="29"/>
  </w:num>
  <w:num w:numId="29">
    <w:abstractNumId w:val="1"/>
  </w:num>
  <w:num w:numId="30">
    <w:abstractNumId w:val="2"/>
  </w:num>
  <w:num w:numId="31">
    <w:abstractNumId w:val="0"/>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C1A"/>
    <w:rsid w:val="000C51B7"/>
    <w:rsid w:val="00216EB9"/>
    <w:rsid w:val="0059531B"/>
    <w:rsid w:val="00616505"/>
    <w:rsid w:val="0062213C"/>
    <w:rsid w:val="00633F40"/>
    <w:rsid w:val="006549AD"/>
    <w:rsid w:val="00684D9C"/>
    <w:rsid w:val="00A60633"/>
    <w:rsid w:val="00BA0C1A"/>
    <w:rsid w:val="00C061CB"/>
    <w:rsid w:val="00C604EC"/>
    <w:rsid w:val="00E26251"/>
    <w:rsid w:val="00EA1EE8"/>
    <w:rsid w:val="00F53662"/>
    <w:rsid w:val="083D07F0"/>
    <w:rsid w:val="105E3B74"/>
    <w:rsid w:val="1C2C4424"/>
    <w:rsid w:val="1CD54CE6"/>
    <w:rsid w:val="1DEC38DC"/>
    <w:rsid w:val="30456175"/>
    <w:rsid w:val="36772279"/>
    <w:rsid w:val="434067C1"/>
    <w:rsid w:val="568D20C3"/>
    <w:rsid w:val="6EAF13B0"/>
    <w:rsid w:val="71061E72"/>
    <w:rsid w:val="7A3B24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white"/>
    </o:shapedefaults>
    <o:shapelayout v:ext="edit">
      <o:idmap v:ext="edit" data="1"/>
    </o:shapelayout>
  </w:shapeDefaults>
  <w:decimalSymbol w:val="."/>
  <w:listSeparator w:val=","/>
  <w15:docId w15:val="{20DE070A-6068-41E9-B520-D45B669F5A4D}"/>
</w:settings>
</file>

<file path=word/styles.xml><?xml version="1.0" encoding="utf-8"?>
<w:styl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w14 w15 w16se">
  <w:docDefaults>
    <w:rPrDefault>
      <w:rPr>
        <w:rFonts w:asciiTheme="minorHAnsi" w:hAnsiTheme="minorHAnsi" w:eastAsiaTheme="minorEastAsia" w:cstheme="minorBidi"/>
        <w:lang w:val="en-US" w:eastAsia="zh-CN" w:bidi="ar-SA"/>
      </w:rPr>
    </w:rPrDefault>
    <w:pPrDefault/>
  </w:docDefaults>
  <w:latentStyles w:defLockedState="false" w:defUIPriority="99" w:defSemiHidden="false" w:defUnhideWhenUsed="false" w:defQFormat="false" w:count="371">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unhideWhenUsed="true" w:qFormat="true"/>
    <w:lsdException w:name="footer" w:unhideWhenUsed="true" w:qFormat="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unhideWhenUsed="true" w:qFormat="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qFormat="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59" w:semiHidden="true" w:unhideWhenUsed="true" w:qFormat="true"/>
    <w:lsdException w:name="Table Theme" w:semiHidden="true" w:unhideWhenUsed="true"/>
    <w:lsdException w:name="Placeholder Text" w:semiHidden="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 w:default="true">
    <w:name w:val="Normal"/>
    <w:qFormat/>
    <w:pPr>
      <w:widowControl w:val="false"/>
      <w:jc w:val="both"/>
    </w:pPr>
    <w:rPr>
      <w:kern w:val="2"/>
      <w:sz w:val="21"/>
      <w:szCs w:val="22"/>
    </w:rPr>
  </w:style>
  <w:style w:type="character" w:styleId="a0" w:default="true">
    <w:name w:val="Default Paragraph Font"/>
    <w:uiPriority w:val="1"/>
    <w:semiHidden/>
    <w:unhideWhenUsed/>
  </w:style>
  <w:style w:type="table" w:styleId="a1" w:default="true">
    <w:name w:val="Normal Table"/>
    <w:uiPriority w:val="99"/>
    <w:semiHidden/>
    <w:unhideWhenUsed/>
    <w:tblPr>
      <w:tblInd w:w="0" w:type="dxa"/>
      <w:tblCellMar>
        <w:top w:w="0" w:type="dxa"/>
        <w:left w:w="108" w:type="dxa"/>
        <w:bottom w:w="0" w:type="dxa"/>
        <w:right w:w="108" w:type="dxa"/>
      </w:tblCellMar>
    </w:tblPr>
  </w:style>
  <w:style w:type="numbering" w:styleId="a2" w:default="true">
    <w:name w:val="No List"/>
    <w:uiPriority w:val="99"/>
    <w:semiHidden/>
    <w:unhideWhenUsed/>
  </w:style>
  <w:style w:type="paragraph" w:styleId="a3">
    <w:name w:val="footer"/>
    <w:basedOn w:val="a"/>
    <w:link w:val="a4"/>
    <w:uiPriority w:val="99"/>
    <w:unhideWhenUsed/>
    <w:qFormat/>
    <w:pPr>
      <w:tabs>
        <w:tab w:val="center" w:pos="4153"/>
        <w:tab w:val="right" w:pos="8306"/>
      </w:tabs>
      <w:snapToGrid w:val="false"/>
      <w:jc w:val="left"/>
    </w:pPr>
    <w:rPr>
      <w:sz w:val="18"/>
      <w:szCs w:val="18"/>
    </w:rPr>
  </w:style>
  <w:style w:type="paragraph" w:styleId="a5">
    <w:name w:val="header"/>
    <w:basedOn w:val="a"/>
    <w:link w:val="a6"/>
    <w:uiPriority w:val="99"/>
    <w:unhideWhenUsed/>
    <w:qFormat/>
    <w:pPr>
      <w:pBdr>
        <w:bottom w:val="single" w:color="auto" w:sz="6" w:space="1"/>
      </w:pBdr>
      <w:tabs>
        <w:tab w:val="center" w:pos="4153"/>
        <w:tab w:val="right" w:pos="8306"/>
      </w:tabs>
      <w:snapToGrid w:val="false"/>
      <w:jc w:val="center"/>
    </w:pPr>
    <w:rPr>
      <w:sz w:val="18"/>
      <w:szCs w:val="18"/>
    </w:rPr>
  </w:style>
  <w:style w:type="table" w:styleId="a7">
    <w:name w:val="Table Grid"/>
    <w:basedOn w:val="a1"/>
    <w:uiPriority w:val="59"/>
    <w:qFormat/>
    <w:pPr>
      <w:widowControl w:val="false"/>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6" w:customStyle="true">
    <w:name w:val="页眉 字符"/>
    <w:basedOn w:val="a0"/>
    <w:link w:val="a5"/>
    <w:uiPriority w:val="99"/>
    <w:semiHidden/>
    <w:qFormat/>
    <w:rPr>
      <w:sz w:val="18"/>
      <w:szCs w:val="18"/>
    </w:rPr>
  </w:style>
  <w:style w:type="character" w:styleId="a4" w:customStyle="true">
    <w:name w:val="页脚 字符"/>
    <w:basedOn w:val="a0"/>
    <w:link w:val="a3"/>
    <w:uiPriority w:val="99"/>
    <w:semiHidden/>
    <w:qFormat/>
    <w:rPr>
      <w:sz w:val="18"/>
      <w:szCs w:val="18"/>
    </w:rPr>
  </w:style>
  <w:style w:type="paragraph" w:styleId="a8">
    <w:name w:val="List Paragraph"/>
    <w:basedOn w:val="a"/>
    <w:uiPriority w:val="34"/>
    <w:qFormat/>
    <w:pPr>
      <w:ind w:firstLine="420" w:firstLineChars="200"/>
    </w:pPr>
  </w:style>
  <w:style w:type="paragraph" w:styleId="t1">
    <w:name w:val="Title"/>
    <w:basedOn w:val="a"/>
    <w:next w:val="a"/>
    <w:uiPriority w:val="10"/>
    <w:qFormat/>
    <w:rsid w:val="001C768A"/>
    <w:pPr>
      <w:spacing w:before="240" w:after="60" w:line="312" w:lineRule="auto"/>
      <w:jc w:val="center"/>
      <w:outlineLvl w:val="0"/>
    </w:pPr>
    <w:rPr>
      <w:rFonts w:asciiTheme="majorHAnsi" w:hAnsiTheme="majorHAnsi" w:eastAsiaTheme="majorEastAsia" w:cstheme="majorBidi"/>
      <w:b/>
      <w:bCs/>
      <w:color/>
      <w:sz w:val="32"/>
      <w:szCs w:val="32"/>
    </w:rPr>
  </w:style>
  <w:style w:type="paragraph" w:styleId="heading1">
    <w:name w:val="heading 1"/>
    <w:basedOn w:val="a"/>
    <w:next w:val="a"/>
    <w:uiPriority w:val="9"/>
    <w:qFormat/>
    <w:rsid w:val="001C768A"/>
    <w:pPr>
      <w:keepNext/>
      <w:keepLines/>
      <w:spacing w:before="240" w:after="240" w:line="408" w:lineRule="auto"/>
      <w:jc w:val="left"/>
      <w:outlineLvl w:val="0"/>
    </w:pPr>
    <w:rPr>
      <w:b/>
      <w:bCs/>
      <w:color w:val="#000000"/>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Relationships xmlns="http://schemas.openxmlformats.org/package/2006/relationships"><Relationship Target="theme/theme1.xml" Type="http://schemas.openxmlformats.org/officeDocument/2006/relationships/theme" Id="rId8"/><Relationship Target="numbering.xml" Type="http://schemas.openxmlformats.org/officeDocument/2006/relationships/numbering" Id="rId3"/><Relationship Target="fontTable.xml" Type="http://schemas.openxmlformats.org/officeDocument/2006/relationships/fontTable" Id="rId7"/><Relationship Target="../customXml/item2.xml" Type="http://schemas.openxmlformats.org/officeDocument/2006/relationships/customXml" Id="rId2"/><Relationship Target="../customXml/item1.xml" Type="http://schemas.openxmlformats.org/officeDocument/2006/relationships/customXml" Id="rId1"/><Relationship Target="webSettings.xml" Type="http://schemas.openxmlformats.org/officeDocument/2006/relationships/webSettings" Id="rId6"/><Relationship Target="settings.xml" Type="http://schemas.openxmlformats.org/officeDocument/2006/relationships/settings" Id="rId5"/><Relationship Target="styles.xml" Type="http://schemas.openxmlformats.org/officeDocument/2006/relationships/styles" Id="rId4"/><Relationship Target="comments.xml" Type="http://schemas.openxmlformats.org/officeDocument/2006/relationships/comments" Id="rId9"/><Relationship Target="commentsExtended.xml" Type="http://schemas.microsoft.com/office/2011/relationships/commentsExtended" Id="rId10"/></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Target="itemProps1.xml" Type="http://schemas.openxmlformats.org/officeDocument/2006/relationships/customXmlProps" Id="rId1"/></Relationships>
</file>

<file path=customXml/_rels/item2.xml.rels><?xml version="1.0" encoding="UTF-8" standalone="yes"?><Relationships xmlns="http://schemas.openxmlformats.org/package/2006/relationships"><Relationship Target="itemProps2.xml" Type="http://schemas.openxmlformats.org/officeDocument/2006/relationships/customXmlProps" Id="rId1"/></Relationships>
</file>

<file path=customXml/item1.xml><?xml version="1.0" encoding="utf-8"?>
<s:customData xmlns:s="http://www.wps.cn/officeDocument/2013/wpsCustomData" xmln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9BC990-40FD-42B6-B8DA-69B41A76D25A}">
  <ds:schemaRefs>
    <ds:schemaRef ds:uri="http://schemas.openxmlformats.org/officeDocument/2006/bibliography"/>
  </ds:schemaRefs>
</ds:datastoreItem>
</file>

<file path=docProps/app.xml><?xml version="1.0" encoding="utf-8"?>
<properties:Properties xmlns:properties="http://schemas.openxmlformats.org/officeDocument/2006/extended-properties" xmlns:vt="http://schemas.openxmlformats.org/officeDocument/2006/docPropsVTypes">
  <properties:Template>Normal.dotm</properties:Template>
  <properties:Company>Microsoft</properties:Company>
  <properties:Pages>1</properties:Pages>
  <properties:Words>18</properties:Words>
  <properties:Characters>106</properties:Characters>
  <properties:Lines>1</properties:Lines>
  <properties:Paragraphs>1</properties:Paragraphs>
  <properties:TotalTime>1</properties:TotalTime>
  <properties:ScaleCrop>false</properties:ScaleCrop>
  <properties:LinksUpToDate>false</properties:LinksUpToDate>
  <properties:CharactersWithSpaces>123</properties:CharactersWithSpaces>
  <properties:SharedDoc>false</properties:SharedDoc>
  <properties:HyperlinksChanged>false</properties:HyperlinksChanged>
  <properties:Application>Microsoft Office Word</properties:Application>
  <properties:AppVersion>16.0000</properties:AppVersion>
  <properties:DocSecurity>0</properties:DocSecurity>
</properties:Properties>
</file>

<file path=docProps/core.xml><?xml version="1.0" encoding="utf-8"?>
<cp:coreProperties xmlns:cp="http://schemas.openxmlformats.org/package/2006/metadata/core-properties" xmlns:dcterms="http://purl.org/dc/terms/" xmlns:dc="http://purl.org/dc/elements/1.1/">
  <dcterms:created xmlns:xsi="http://www.w3.org/2001/XMLSchema-instance" xsi:type="dcterms:W3CDTF">2017-01-10T09:10:00Z</dcterms:created>
  <dc:creator>Tencent</dc:creator>
  <cp:lastModifiedBy>Tencent</cp:lastModifiedBy>
  <dcterms:modified xmlns:xsi="http://www.w3.org/2001/XMLSchema-instance" xsi:type="dcterms:W3CDTF">2018-12-10T07:40:00Z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2052-10.1.0.6929</vt:lpwstr>
  </property>
</Properties>
</file>